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8F413"/>
    <w:p w14:paraId="6201D2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ind w:left="0" w:leftChars="0" w:right="0" w:rightChars="0" w:firstLine="0" w:firstLineChars="0"/>
        <w:jc w:val="center"/>
        <w:textAlignment w:val="auto"/>
        <w:rPr>
          <w:rFonts w:ascii="方正小标宋简体" w:hAnsi="方正小标宋简体" w:eastAsia="方正小标宋简体" w:cs="方正小标宋简体"/>
          <w:b/>
          <w:color w:val="4D4D4D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金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桂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工业设计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大赛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评审专家推荐表</w:t>
      </w:r>
    </w:p>
    <w:tbl>
      <w:tblPr>
        <w:tblStyle w:val="5"/>
        <w:tblW w:w="1034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303"/>
        <w:gridCol w:w="950"/>
        <w:gridCol w:w="1700"/>
        <w:gridCol w:w="576"/>
        <w:gridCol w:w="708"/>
        <w:gridCol w:w="2415"/>
      </w:tblGrid>
      <w:tr w14:paraId="1F891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A099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32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F012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609D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12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62FA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24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9AF0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4D4D4D"/>
                <w:kern w:val="0"/>
                <w:sz w:val="24"/>
              </w:rPr>
              <w:t>1寸</w:t>
            </w:r>
            <w:r>
              <w:rPr>
                <w:rFonts w:hint="eastAsia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  <w:t>形象照</w:t>
            </w:r>
          </w:p>
        </w:tc>
      </w:tr>
      <w:tr w14:paraId="10F45C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74E7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32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49B9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B12A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2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1CB5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24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CECC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</w:tr>
      <w:tr w14:paraId="6B7FF2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FD3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毕业院校</w:t>
            </w:r>
          </w:p>
        </w:tc>
        <w:tc>
          <w:tcPr>
            <w:tcW w:w="32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01E4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F7C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最高学历</w:t>
            </w:r>
          </w:p>
        </w:tc>
        <w:tc>
          <w:tcPr>
            <w:tcW w:w="12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5D9D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24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21E3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</w:tr>
      <w:tr w14:paraId="4DA965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968F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工作单位</w:t>
            </w:r>
          </w:p>
        </w:tc>
        <w:tc>
          <w:tcPr>
            <w:tcW w:w="623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B585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24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4130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</w:tr>
      <w:tr w14:paraId="144A0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B7F1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办公电话</w:t>
            </w:r>
          </w:p>
        </w:tc>
        <w:tc>
          <w:tcPr>
            <w:tcW w:w="2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E5B4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376D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手机</w:t>
            </w:r>
          </w:p>
        </w:tc>
        <w:tc>
          <w:tcPr>
            <w:tcW w:w="2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572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3EC7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邮箱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481C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 w14:paraId="5C99C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0D94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联系地址</w:t>
            </w:r>
          </w:p>
        </w:tc>
        <w:tc>
          <w:tcPr>
            <w:tcW w:w="8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8ADB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</w:tr>
      <w:tr w14:paraId="52636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8C5B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专业领域</w:t>
            </w:r>
          </w:p>
        </w:tc>
        <w:tc>
          <w:tcPr>
            <w:tcW w:w="8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E60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</w:tr>
      <w:tr w14:paraId="4DA1F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D9E7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lang w:val="en-US" w:eastAsia="zh-CN"/>
              </w:rPr>
              <w:t>意向评审领域</w:t>
            </w:r>
          </w:p>
        </w:tc>
        <w:tc>
          <w:tcPr>
            <w:tcW w:w="8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05F3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</w:pPr>
            <w:r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  <w:t xml:space="preserve">人工智能类  </w:t>
            </w:r>
            <w:r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  <w:t xml:space="preserve">高端装备类   </w:t>
            </w:r>
            <w:r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  <w:t xml:space="preserve">智慧交通类 </w:t>
            </w:r>
          </w:p>
          <w:p w14:paraId="02E7A2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</w:pPr>
            <w:r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  <w:t xml:space="preserve">食品加工类  </w:t>
            </w:r>
            <w:r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  <w:t xml:space="preserve">家居生活类   </w:t>
            </w:r>
            <w:r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color w:val="4D4D4D"/>
                <w:kern w:val="0"/>
                <w:sz w:val="24"/>
                <w:lang w:val="en-US" w:eastAsia="zh-CN"/>
              </w:rPr>
              <w:t xml:space="preserve">非遗工艺类  </w:t>
            </w:r>
          </w:p>
        </w:tc>
      </w:tr>
      <w:tr w14:paraId="2A5842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8AB7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技术职称</w:t>
            </w:r>
          </w:p>
        </w:tc>
        <w:tc>
          <w:tcPr>
            <w:tcW w:w="49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9522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  <w:tc>
          <w:tcPr>
            <w:tcW w:w="12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30E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专业资格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B4CF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 </w:t>
            </w:r>
          </w:p>
        </w:tc>
      </w:tr>
      <w:tr w14:paraId="28A67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03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6835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000000"/>
                <w:spacing w:val="2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20"/>
                <w:kern w:val="0"/>
                <w:sz w:val="24"/>
              </w:rPr>
              <w:t>专业工作经历</w:t>
            </w:r>
          </w:p>
        </w:tc>
      </w:tr>
      <w:tr w14:paraId="5E7EC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9" w:hRule="atLeast"/>
          <w:jc w:val="center"/>
        </w:trPr>
        <w:tc>
          <w:tcPr>
            <w:tcW w:w="103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8DF9E1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rPr>
                <w:rFonts w:ascii="仿宋_GB2312" w:hAnsi="宋体" w:eastAsia="仿宋_GB2312" w:cs="宋体"/>
                <w:color w:val="000000"/>
                <w:spacing w:val="20"/>
                <w:kern w:val="0"/>
                <w:sz w:val="24"/>
              </w:rPr>
            </w:pPr>
          </w:p>
        </w:tc>
      </w:tr>
      <w:tr w14:paraId="4BE1C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03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9D15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20"/>
                <w:kern w:val="0"/>
                <w:sz w:val="24"/>
              </w:rPr>
              <w:t>所研究领域相关著作及获得荣誉情况</w:t>
            </w:r>
          </w:p>
        </w:tc>
      </w:tr>
    </w:tbl>
    <w:p w14:paraId="58D950D0"/>
    <w:p w14:paraId="34D617AF"/>
    <w:tbl>
      <w:tblPr>
        <w:tblStyle w:val="5"/>
        <w:tblW w:w="1034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8652"/>
      </w:tblGrid>
      <w:tr w14:paraId="433C3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3" w:hRule="atLeast"/>
          <w:jc w:val="center"/>
        </w:trPr>
        <w:tc>
          <w:tcPr>
            <w:tcW w:w="10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68CB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rPr>
                <w:rFonts w:ascii="仿宋_GB2312" w:hAnsi="宋体" w:eastAsia="仿宋_GB2312" w:cs="宋体"/>
                <w:color w:val="000000"/>
                <w:spacing w:val="20"/>
                <w:kern w:val="0"/>
                <w:sz w:val="24"/>
              </w:rPr>
            </w:pPr>
          </w:p>
        </w:tc>
      </w:tr>
      <w:tr w14:paraId="44961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6445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参加过何种奖项的评审工作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eastAsia="仿宋_GB2312"/>
                <w:b/>
                <w:bCs/>
                <w:sz w:val="24"/>
                <w:lang w:val="en-US" w:eastAsia="zh-CN"/>
              </w:rPr>
              <w:t>佐证材料：职称证书、聘书、邀请函等材料可后附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）</w:t>
            </w:r>
          </w:p>
        </w:tc>
      </w:tr>
      <w:tr w14:paraId="229EF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8" w:hRule="atLeast"/>
          <w:jc w:val="center"/>
        </w:trPr>
        <w:tc>
          <w:tcPr>
            <w:tcW w:w="10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CC6ED3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  <w:tr w14:paraId="4521EA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8" w:hRule="atLeast"/>
          <w:jc w:val="center"/>
        </w:trPr>
        <w:tc>
          <w:tcPr>
            <w:tcW w:w="10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66F7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本人郑重承诺以上信息及所附证明材料全部真实有效，如有虚假错漏，本人愿意承担由此产生的一切法律后果！</w:t>
            </w:r>
          </w:p>
          <w:p w14:paraId="12423CEE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</w:pPr>
          </w:p>
          <w:p w14:paraId="102D51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                  </w:t>
            </w:r>
            <w:r>
              <w:rPr>
                <w:rFonts w:ascii="仿宋_GB2312" w:eastAsia="仿宋_GB2312"/>
                <w:sz w:val="24"/>
              </w:rPr>
              <w:t xml:space="preserve">                   </w:t>
            </w:r>
            <w:r>
              <w:rPr>
                <w:rFonts w:hint="eastAsia" w:ascii="仿宋_GB2312" w:eastAsia="仿宋_GB2312"/>
                <w:sz w:val="24"/>
              </w:rPr>
              <w:t xml:space="preserve"> 申报人：</w:t>
            </w:r>
          </w:p>
          <w:p w14:paraId="0BEB2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                   </w:t>
            </w:r>
            <w:r>
              <w:rPr>
                <w:rFonts w:ascii="仿宋_GB2312" w:eastAsia="仿宋_GB2312"/>
                <w:sz w:val="24"/>
              </w:rPr>
              <w:t xml:space="preserve">                   </w:t>
            </w:r>
            <w:r>
              <w:rPr>
                <w:rFonts w:hint="eastAsia" w:ascii="仿宋_GB2312" w:eastAsia="仿宋_GB2312"/>
                <w:sz w:val="24"/>
              </w:rPr>
              <w:t>日  期：</w:t>
            </w:r>
          </w:p>
        </w:tc>
      </w:tr>
      <w:tr w14:paraId="79C93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0B8D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distribute"/>
              <w:textAlignment w:val="auto"/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评审委员会</w:t>
            </w:r>
          </w:p>
          <w:p w14:paraId="5C90B7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distribute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意见</w:t>
            </w:r>
          </w:p>
        </w:tc>
        <w:tc>
          <w:tcPr>
            <w:tcW w:w="8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AAF5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  <w:p w14:paraId="337AE4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                          　　　　　 </w:t>
            </w:r>
          </w:p>
        </w:tc>
      </w:tr>
      <w:tr w14:paraId="26D86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7" w:hRule="atLeast"/>
          <w:jc w:val="center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FD4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组委会意见</w:t>
            </w:r>
          </w:p>
        </w:tc>
        <w:tc>
          <w:tcPr>
            <w:tcW w:w="8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7894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ascii="仿宋_GB2312" w:hAnsi="宋体" w:eastAsia="仿宋_GB2312" w:cs="宋体"/>
                <w:color w:val="4D4D4D"/>
                <w:kern w:val="0"/>
                <w:sz w:val="24"/>
              </w:rPr>
            </w:pPr>
          </w:p>
        </w:tc>
      </w:tr>
    </w:tbl>
    <w:p w14:paraId="4D4AB0B8">
      <w:pPr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（注：本表可附页或保持原格式增加、扩展表格页面</w:t>
      </w:r>
      <w:r>
        <w:rPr>
          <w:rFonts w:hint="eastAsia" w:ascii="方正仿宋_GB2312" w:hAnsi="方正仿宋_GB2312" w:eastAsia="方正仿宋_GB2312" w:cs="方正仿宋_GB2312"/>
          <w:b/>
          <w:bCs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b/>
          <w:bCs/>
          <w:lang w:val="en-US" w:eastAsia="zh-CN"/>
        </w:rPr>
        <w:t>推荐表填写完毕后发送至组委会邮箱：</w:t>
      </w:r>
      <w:r>
        <w:rPr>
          <w:rFonts w:hint="eastAsia" w:ascii="方正仿宋_GB2312" w:hAnsi="方正仿宋_GB2312" w:eastAsia="方正仿宋_GB2312" w:cs="方正仿宋_GB2312"/>
          <w:b/>
          <w:bCs/>
          <w:lang w:val="en-US" w:eastAsia="zh-CN"/>
        </w:rPr>
        <w:fldChar w:fldCharType="begin"/>
      </w:r>
      <w:r>
        <w:rPr>
          <w:rFonts w:hint="eastAsia" w:ascii="方正仿宋_GB2312" w:hAnsi="方正仿宋_GB2312" w:eastAsia="方正仿宋_GB2312" w:cs="方正仿宋_GB2312"/>
          <w:b/>
          <w:bCs/>
          <w:lang w:val="en-US" w:eastAsia="zh-CN"/>
        </w:rPr>
        <w:instrText xml:space="preserve"> HYPERLINK "mailto:13211336944@163.com" </w:instrText>
      </w:r>
      <w:r>
        <w:rPr>
          <w:rFonts w:hint="eastAsia" w:ascii="方正仿宋_GB2312" w:hAnsi="方正仿宋_GB2312" w:eastAsia="方正仿宋_GB2312" w:cs="方正仿宋_GB2312"/>
          <w:b/>
          <w:bCs/>
          <w:lang w:val="en-US" w:eastAsia="zh-CN"/>
        </w:rPr>
        <w:fldChar w:fldCharType="separate"/>
      </w:r>
      <w:r>
        <w:rPr>
          <w:rStyle w:val="7"/>
          <w:rFonts w:hint="eastAsia" w:ascii="方正仿宋_GB2312" w:hAnsi="方正仿宋_GB2312" w:eastAsia="方正仿宋_GB2312" w:cs="方正仿宋_GB2312"/>
          <w:b/>
          <w:bCs/>
          <w:lang w:val="en-US" w:eastAsia="zh-CN"/>
        </w:rPr>
        <w:t>13211336944@163.com</w:t>
      </w:r>
      <w:r>
        <w:rPr>
          <w:rFonts w:hint="eastAsia" w:ascii="方正仿宋_GB2312" w:hAnsi="方正仿宋_GB2312" w:eastAsia="方正仿宋_GB2312" w:cs="方正仿宋_GB2312"/>
          <w:b/>
          <w:bCs/>
          <w:lang w:val="en-US" w:eastAsia="zh-CN"/>
        </w:rPr>
        <w:fldChar w:fldCharType="end"/>
      </w:r>
      <w:r>
        <w:rPr>
          <w:rFonts w:hint="eastAsia" w:ascii="方正仿宋_GB2312" w:hAnsi="方正仿宋_GB2312" w:eastAsia="方正仿宋_GB2312" w:cs="方正仿宋_GB2312"/>
          <w:b/>
          <w:bCs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</w:rPr>
        <w:t>）</w:t>
      </w:r>
    </w:p>
    <w:p w14:paraId="66C6AFF4">
      <w:pPr>
        <w:rPr>
          <w:rFonts w:hint="eastAsia" w:ascii="方正仿宋_GB2312" w:hAnsi="方正仿宋_GB2312" w:eastAsia="方正仿宋_GB2312" w:cs="方正仿宋_GB2312"/>
          <w:b/>
          <w:bCs/>
        </w:rPr>
      </w:pPr>
    </w:p>
    <w:p w14:paraId="21E75896">
      <w:pPr>
        <w:rPr>
          <w:rFonts w:hint="eastAsia" w:ascii="方正仿宋_GB2312" w:hAnsi="方正仿宋_GB2312" w:eastAsia="方正仿宋_GB2312" w:cs="方正仿宋_GB2312"/>
          <w:b/>
          <w:bCs/>
        </w:rPr>
      </w:pPr>
    </w:p>
    <w:p w14:paraId="1C2AD376">
      <w:pPr>
        <w:rPr>
          <w:rFonts w:hint="eastAsia" w:ascii="方正仿宋_GB2312" w:hAnsi="方正仿宋_GB2312" w:eastAsia="方正仿宋_GB2312" w:cs="方正仿宋_GB2312"/>
          <w:b/>
          <w:bCs/>
        </w:rPr>
      </w:pPr>
    </w:p>
    <w:p w14:paraId="783CEFA6">
      <w:pPr>
        <w:rPr>
          <w:rFonts w:hint="eastAsia" w:ascii="方正仿宋_GB2312" w:hAnsi="方正仿宋_GB2312" w:eastAsia="方正仿宋_GB2312" w:cs="方正仿宋_GB2312"/>
          <w:b/>
          <w:bCs/>
        </w:rPr>
      </w:pPr>
    </w:p>
    <w:p w14:paraId="423FD2C3">
      <w:pPr>
        <w:spacing w:before="7" w:line="357" w:lineRule="auto"/>
        <w:ind w:right="5"/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</w:pPr>
      <w:r>
        <w:rPr>
          <w:rFonts w:hint="eastAsia" w:hAnsi="Courier New" w:cs="Courier New" w:asciiTheme="minorEastAsia" w:eastAsiaTheme="minorEastAsia"/>
          <w:b/>
          <w:bCs/>
          <w:kern w:val="2"/>
          <w:sz w:val="21"/>
          <w:szCs w:val="22"/>
          <w:lang w:val="en-US" w:eastAsia="zh-CN" w:bidi="ar-SA"/>
        </w:rPr>
        <w:t>人工智能类：</w:t>
      </w:r>
      <w:r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  <w:t>聚焦人工智能技术与机器人创新的产业化落地，涵盖智能核心技术、硬件产品与场景化应用设计。包括人工智能基础平台、关键领域技术（如计算机视觉、 自然语言处理等）、智能硬件（ 如 AI 芯片、传感器等）、具身智能系统及各类机器人（如工业制造机器人、特种作业机器人、康养机器人）等领域的产品、系统与服务； 同时征集面向特定场景的行业大模型、智能体等人工智能应用解决方案，鼓励人工智能技术与实体经济深度融合的场景化创新。</w:t>
      </w:r>
    </w:p>
    <w:p w14:paraId="49E2C742">
      <w:pPr>
        <w:spacing w:before="6" w:line="357" w:lineRule="auto"/>
        <w:ind w:right="2"/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</w:pPr>
      <w:r>
        <w:rPr>
          <w:rFonts w:hint="eastAsia" w:hAnsi="Courier New" w:cs="Courier New" w:asciiTheme="minorEastAsia" w:eastAsiaTheme="minorEastAsia"/>
          <w:b/>
          <w:bCs/>
          <w:kern w:val="2"/>
          <w:sz w:val="21"/>
          <w:szCs w:val="22"/>
          <w:lang w:val="en-US" w:eastAsia="zh-CN" w:bidi="ar-SA"/>
        </w:rPr>
        <w:t>高端装备类：</w:t>
      </w:r>
      <w:r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  <w:t>聚焦驱动产业升级的基础性、精密化与智能化装备设计。 涵盖高端数控机床、增材制造（ 3D 打印 ）设备、智能生产线、精密仪器、 中小型智能绿色工程机械（ 如电动 / 混动装载机、挖掘机等）与重型机械、关键基础零部件与动力系统、先进纺织装备、食品工业专用加工装备、高端医疗诊断与治疗设备 、康复辅助器具等领域的产品与整体解决方案。</w:t>
      </w:r>
    </w:p>
    <w:p w14:paraId="3F3EB82B">
      <w:pPr>
        <w:spacing w:before="3" w:line="357" w:lineRule="auto"/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</w:pPr>
      <w:r>
        <w:rPr>
          <w:rFonts w:hint="eastAsia" w:hAnsi="Courier New" w:cs="Courier New" w:asciiTheme="minorEastAsia" w:eastAsiaTheme="minorEastAsia"/>
          <w:b/>
          <w:bCs/>
          <w:kern w:val="2"/>
          <w:sz w:val="21"/>
          <w:szCs w:val="22"/>
          <w:lang w:val="en-US" w:eastAsia="zh-CN" w:bidi="ar-SA"/>
        </w:rPr>
        <w:t>智慧交通类：</w:t>
      </w:r>
      <w:r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  <w:t>面向未来出行的电动化、智能化、集成化载具设计。涵盖新能源整车、智能网联汽车、无人驾驶系统、充电与换电基础设施、车载动力电池与能源管理系统、轨道交通装备、轻型电动载具（ 如适配东盟市场的电动三轮车等）、飞行器（如无人机、eVTOL 等）及水上交通工具等领域的产品、系统与服务。</w:t>
      </w:r>
    </w:p>
    <w:p w14:paraId="0C72C137">
      <w:pPr>
        <w:spacing w:before="2" w:line="357" w:lineRule="auto"/>
        <w:ind w:right="2"/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</w:pPr>
      <w:r>
        <w:rPr>
          <w:rFonts w:hint="eastAsia" w:hAnsi="Courier New" w:cs="Courier New" w:asciiTheme="minorEastAsia" w:eastAsiaTheme="minorEastAsia"/>
          <w:b/>
          <w:bCs/>
          <w:kern w:val="2"/>
          <w:sz w:val="21"/>
          <w:szCs w:val="22"/>
          <w:lang w:val="en-US" w:eastAsia="zh-CN" w:bidi="ar-SA"/>
        </w:rPr>
        <w:t>食品加工类：</w:t>
      </w:r>
      <w:r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  <w:t>融合安全、功能与可持续性的食品产业链创新设计。涵盖食品加工工艺、产品形态、包装结构、 品牌视觉、场景体验、市场营销等解决方案，重点包含制糖、精制茶（如六堡茶、茉莉花茶等）、特色米粉等产业的创新产品与服务。</w:t>
      </w:r>
    </w:p>
    <w:p w14:paraId="368ED704">
      <w:pPr>
        <w:spacing w:line="357" w:lineRule="auto"/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</w:pPr>
      <w:r>
        <w:rPr>
          <w:rFonts w:hint="eastAsia" w:hAnsi="Courier New" w:cs="Courier New" w:asciiTheme="minorEastAsia" w:eastAsiaTheme="minorEastAsia"/>
          <w:b/>
          <w:bCs/>
          <w:kern w:val="2"/>
          <w:sz w:val="21"/>
          <w:szCs w:val="22"/>
          <w:lang w:val="en-US" w:eastAsia="zh-CN" w:bidi="ar-SA"/>
        </w:rPr>
        <w:t>家居生活类：</w:t>
      </w:r>
      <w:r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  <w:t>聚焦美好人居生活的品质化、场景化产品设计。涵盖智能家居、定制家居、实木家具、健康生活电器、厨卫用具 、 服装服饰（ 如丝绸旗袍 、 礼服 、 日 常轻奢成衣等）、家纺与软装饰品（ 如丝绸制品等）、照明与氛围设备、适老化与无障碍设计产品、婴童及玩具用品， 以及家居新材料与可持续生活解决方案（ 如林产循环材料家居配件）等领域的产品、系统与服务。</w:t>
      </w:r>
    </w:p>
    <w:p w14:paraId="437E37F3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101" w:line="358" w:lineRule="auto"/>
        <w:ind w:right="6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hAnsi="Courier New" w:cs="Courier New" w:asciiTheme="minorEastAsia" w:eastAsiaTheme="minorEastAsia"/>
          <w:b/>
          <w:bCs/>
          <w:kern w:val="2"/>
          <w:sz w:val="21"/>
          <w:szCs w:val="22"/>
          <w:lang w:val="en-US" w:eastAsia="zh-CN" w:bidi="ar-SA"/>
        </w:rPr>
        <w:t>非遗工艺类：</w:t>
      </w:r>
      <w:r>
        <w:rPr>
          <w:rFonts w:hint="eastAsia" w:hAnsi="Courier New" w:cs="Courier New" w:asciiTheme="minorEastAsia" w:eastAsiaTheme="minorEastAsia"/>
          <w:kern w:val="2"/>
          <w:sz w:val="21"/>
          <w:szCs w:val="22"/>
          <w:lang w:val="en-US" w:eastAsia="zh-CN" w:bidi="ar-SA"/>
        </w:rPr>
        <w:t>承载民族智慧与美学表达的匠心手造与创意设计。 涵盖非遗生活化应用、非遗文旅文创开发、非遗空间营造、非遗技艺产品（如陶茶具、艺术摆件、壮锦、苗绣、广西手工扎染等 ）、 宝石首饰（ 如项链 、 耳环 、 手镯 、 胸针等 ）、 手工编织（ 如藤编收纳筐 、芒编装饰件等 ）、衍生品（如铜鼓纹饰办公用品、 山水主题工艺品等）、文房雅具及艺术收藏品等领域的产品、工艺系统与文化服务。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A179D4-46C3-43DA-9CD9-6F89C891604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2" w:fontKey="{5D487CFF-87D3-4F00-82BE-57FF5E4439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B5D5CEB1-3A72-4416-9EE4-B95AE33CF210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484564F1-7A01-4AC0-AFBF-34B975DDBCB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8B364ABE-47EE-4BCA-8452-27350BDE518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18C8C3C2-9956-4F15-B399-BFAB58794E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A312A1">
    <w:pPr>
      <w:pStyle w:val="3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ge">
            <wp:posOffset>10143490</wp:posOffset>
          </wp:positionV>
          <wp:extent cx="11467465" cy="609600"/>
          <wp:effectExtent l="0" t="0" r="635" b="0"/>
          <wp:wrapTopAndBottom/>
          <wp:docPr id="1" name="图片 1" descr="页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页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6746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A6FFD"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-1131570</wp:posOffset>
          </wp:positionH>
          <wp:positionV relativeFrom="page">
            <wp:posOffset>5080</wp:posOffset>
          </wp:positionV>
          <wp:extent cx="7566025" cy="1081405"/>
          <wp:effectExtent l="0" t="0" r="3175" b="10795"/>
          <wp:wrapNone/>
          <wp:docPr id="2" name="图片 2" descr="页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页头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081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D54CA2"/>
    <w:rsid w:val="5AD5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Ansi="Courier New" w:cs="Courier New" w:asciiTheme="minorEastAsia" w:eastAsiaTheme="minorEastAsi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2026-07-06T02:18:00Z</dcterms:created>
  <dc:creator>登月计划'</dc:creator>
  <cp:lastModifiedBy>登月计划'</cp:lastModifiedBy>
  <dcterms:modified xsi:type="dcterms:W3CDTF">2026-07-06T02:22:15Z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277007D47A9442539AE3795318E4B630_11</vt:lpwstr>
  </property>
  <property fmtid="{D5CDD505-2E9C-101B-9397-08002B2CF9AE}" pid="4" name="KSOTemplateDocerSaveRecord">
    <vt:lpwstr>eyJoZGlkIjoiZjBlNDNkZmI1YWY3ZmRkODFhYzk5ZTk0OTc4YTlkNWIiLCJ1c2VySWQiOiI0MjE5NjQxNjEifQ==</vt:lpwstr>
  </property>
</Properties>
</file>